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4"/>
        <w:spacing w:line="400" w:lineRule="exact"/>
        <w:ind w:firstLine="0" w:firstLineChars="0"/>
        <w:rPr>
          <w:rFonts w:eastAsia="Heiti SC Medium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新乡市</w:t>
      </w:r>
      <w:r>
        <w:rPr>
          <w:rFonts w:hint="eastAsia" w:ascii="方正小标宋简体" w:eastAsia="方正小标宋简体"/>
          <w:sz w:val="44"/>
          <w:szCs w:val="44"/>
        </w:rPr>
        <w:t>保障性安居工程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批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中央预算内投资计划总体绩效目标表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年度）</w:t>
      </w:r>
    </w:p>
    <w:tbl>
      <w:tblPr>
        <w:tblStyle w:val="1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52"/>
        <w:gridCol w:w="1667"/>
        <w:gridCol w:w="513"/>
        <w:gridCol w:w="3507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专项或项目</w:t>
            </w:r>
          </w:p>
        </w:tc>
        <w:tc>
          <w:tcPr>
            <w:tcW w:w="52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保障性安居工程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39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下达地方或单位</w:t>
            </w:r>
          </w:p>
        </w:tc>
        <w:tc>
          <w:tcPr>
            <w:tcW w:w="52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18"/>
                <w:lang w:val="en-US" w:eastAsia="zh-CN"/>
              </w:rPr>
            </w:pPr>
            <w:r>
              <w:rPr>
                <w:rFonts w:hint="default" w:eastAsia="仿宋_GB2312"/>
                <w:sz w:val="21"/>
                <w:szCs w:val="18"/>
                <w:lang w:val="en-US" w:eastAsia="zh-CN"/>
              </w:rPr>
              <w:t>长垣市、辉县市、获嘉县、原阳县、卫滨区、牧野区、高新区发改委（经发局）、住房城乡建设局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9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本次下达中央预算内投资（万元）</w:t>
            </w:r>
          </w:p>
        </w:tc>
        <w:tc>
          <w:tcPr>
            <w:tcW w:w="52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总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体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目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标</w:t>
            </w:r>
          </w:p>
        </w:tc>
        <w:tc>
          <w:tcPr>
            <w:tcW w:w="8601" w:type="dxa"/>
            <w:gridSpan w:val="5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按照《中央预算内投资保障性安居工程专项管理暂行办法》（发改投资规〔</w:t>
            </w:r>
            <w:r>
              <w:rPr>
                <w:sz w:val="21"/>
                <w:szCs w:val="18"/>
              </w:rPr>
              <w:t>2019</w:t>
            </w:r>
            <w:r>
              <w:rPr>
                <w:rFonts w:hint="eastAsia"/>
                <w:sz w:val="21"/>
                <w:szCs w:val="18"/>
              </w:rPr>
              <w:t>〕</w:t>
            </w:r>
            <w:r>
              <w:rPr>
                <w:sz w:val="21"/>
                <w:szCs w:val="18"/>
              </w:rPr>
              <w:t>1035</w:t>
            </w:r>
            <w:r>
              <w:rPr>
                <w:rFonts w:hint="eastAsia"/>
                <w:sz w:val="21"/>
                <w:szCs w:val="18"/>
              </w:rPr>
              <w:t>号）</w:t>
            </w:r>
            <w:r>
              <w:rPr>
                <w:rFonts w:hint="eastAsia" w:ascii="Times New Roman" w:hAnsi="Times New Roman" w:cs="Times New Roman"/>
                <w:sz w:val="21"/>
                <w:szCs w:val="18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sz w:val="21"/>
                <w:szCs w:val="18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18"/>
                <w:lang w:val="en-US" w:eastAsia="zh-CN"/>
              </w:rPr>
              <w:t>保障性租赁住房</w:t>
            </w:r>
            <w:r>
              <w:rPr>
                <w:rFonts w:hint="eastAsia" w:ascii="Times New Roman" w:hAnsi="Times New Roman" w:cs="Times New Roman"/>
                <w:sz w:val="21"/>
                <w:szCs w:val="18"/>
              </w:rPr>
              <w:t>中央预算内投资</w:t>
            </w:r>
            <w:r>
              <w:rPr>
                <w:rFonts w:hint="eastAsia" w:ascii="Times New Roman" w:hAnsi="Times New Roman" w:cs="Times New Roman"/>
                <w:sz w:val="21"/>
                <w:szCs w:val="18"/>
                <w:lang w:val="en-US" w:eastAsia="zh-CN"/>
              </w:rPr>
              <w:t>专项</w:t>
            </w:r>
            <w:r>
              <w:rPr>
                <w:rFonts w:hint="eastAsia" w:ascii="Times New Roman" w:hAnsi="Times New Roman" w:cs="Times New Roman"/>
                <w:sz w:val="21"/>
                <w:szCs w:val="18"/>
              </w:rPr>
              <w:t>管理暂行办法》（发改投资规〔20</w:t>
            </w:r>
            <w:r>
              <w:rPr>
                <w:rFonts w:hint="eastAsia" w:ascii="Times New Roman" w:hAnsi="Times New Roman" w:cs="Times New Roman"/>
                <w:sz w:val="21"/>
                <w:szCs w:val="18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sz w:val="21"/>
                <w:szCs w:val="18"/>
              </w:rPr>
              <w:t>〕</w:t>
            </w:r>
            <w:r>
              <w:rPr>
                <w:rFonts w:hint="eastAsia" w:ascii="Times New Roman" w:hAnsi="Times New Roman" w:cs="Times New Roman"/>
                <w:sz w:val="21"/>
                <w:szCs w:val="18"/>
                <w:lang w:val="en-US" w:eastAsia="zh-CN"/>
              </w:rPr>
              <w:t>696</w:t>
            </w:r>
            <w:r>
              <w:rPr>
                <w:rFonts w:hint="eastAsia" w:ascii="Times New Roman" w:hAnsi="Times New Roman" w:cs="Times New Roman"/>
                <w:sz w:val="21"/>
                <w:szCs w:val="18"/>
              </w:rPr>
              <w:t>号）</w:t>
            </w:r>
            <w:r>
              <w:rPr>
                <w:rFonts w:hint="eastAsia" w:ascii="Times New Roman" w:hAnsi="Times New Roman" w:cs="Times New Roman"/>
                <w:sz w:val="21"/>
                <w:szCs w:val="18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sz w:val="21"/>
                <w:szCs w:val="18"/>
              </w:rPr>
              <w:t>文件规</w:t>
            </w:r>
            <w:r>
              <w:rPr>
                <w:rFonts w:hint="eastAsia"/>
                <w:sz w:val="21"/>
                <w:szCs w:val="18"/>
              </w:rPr>
              <w:t>定，将保障性安居工程专项</w:t>
            </w:r>
            <w:r>
              <w:rPr>
                <w:sz w:val="21"/>
                <w:szCs w:val="18"/>
              </w:rPr>
              <w:t>202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18"/>
              </w:rPr>
              <w:t>年第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18"/>
              </w:rPr>
              <w:t>批中央预算内投资计划及时</w:t>
            </w:r>
            <w:r>
              <w:rPr>
                <w:rFonts w:hint="eastAsia"/>
                <w:sz w:val="21"/>
                <w:szCs w:val="18"/>
                <w:lang w:eastAsia="zh-CN"/>
              </w:rPr>
              <w:t>转发</w:t>
            </w:r>
            <w:r>
              <w:rPr>
                <w:rFonts w:hint="eastAsia"/>
                <w:sz w:val="21"/>
                <w:szCs w:val="18"/>
              </w:rPr>
              <w:t>下达，支持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保障性安居</w:t>
            </w:r>
            <w:r>
              <w:rPr>
                <w:rFonts w:hint="eastAsia"/>
                <w:sz w:val="21"/>
                <w:szCs w:val="18"/>
              </w:rPr>
              <w:t>配套基础设施建设</w:t>
            </w:r>
            <w:r>
              <w:rPr>
                <w:rFonts w:hint="eastAsia"/>
                <w:sz w:val="21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标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一级指标</w:t>
            </w:r>
          </w:p>
        </w:tc>
        <w:tc>
          <w:tcPr>
            <w:tcW w:w="166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二级指标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三级指标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实施效果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产出指标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支持项目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1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下达中央预算内投资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11702</w:t>
            </w:r>
            <w:r>
              <w:rPr>
                <w:rFonts w:hint="eastAsia"/>
                <w:sz w:val="21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效益指标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提高群众获得感幸福感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有效提高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满意度指标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居民满意度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≥</w:t>
            </w:r>
            <w:r>
              <w:rPr>
                <w:sz w:val="21"/>
                <w:szCs w:val="18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过程管理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计划管理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投资计划分解（转发）用时达标率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≤10</w:t>
            </w:r>
            <w:r>
              <w:rPr>
                <w:rFonts w:hint="eastAsia"/>
                <w:sz w:val="21"/>
                <w:szCs w:val="18"/>
              </w:rPr>
              <w:t>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“</w:t>
            </w:r>
            <w:r>
              <w:rPr>
                <w:rFonts w:hint="eastAsia"/>
                <w:sz w:val="21"/>
                <w:szCs w:val="18"/>
              </w:rPr>
              <w:t>两个责任</w:t>
            </w:r>
            <w:r>
              <w:rPr>
                <w:sz w:val="21"/>
                <w:szCs w:val="18"/>
              </w:rPr>
              <w:t>”</w:t>
            </w:r>
            <w:r>
              <w:rPr>
                <w:rFonts w:hint="eastAsia"/>
                <w:sz w:val="21"/>
                <w:szCs w:val="18"/>
              </w:rPr>
              <w:t>按项目落实到位率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资金管理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中央预算内投资</w:t>
            </w:r>
            <w:bookmarkStart w:id="0" w:name="_GoBack"/>
            <w:bookmarkEnd w:id="0"/>
            <w:r>
              <w:rPr>
                <w:rFonts w:hint="eastAsia"/>
                <w:sz w:val="21"/>
                <w:szCs w:val="18"/>
              </w:rPr>
              <w:t>支付率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≥65%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总投资完成率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≥80%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项目管理</w:t>
            </w:r>
          </w:p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项目开工率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超规模、超标准、超概算项目比例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≤5%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监督检查指标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审计、督查、巡视等指出问题项目比例</w:t>
            </w:r>
          </w:p>
        </w:tc>
        <w:tc>
          <w:tcPr>
            <w:tcW w:w="176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≤</w:t>
            </w:r>
            <w:r>
              <w:rPr>
                <w:sz w:val="21"/>
                <w:szCs w:val="18"/>
              </w:rPr>
              <w:t>1%</w:t>
            </w:r>
          </w:p>
        </w:tc>
      </w:tr>
    </w:tbl>
    <w:p>
      <w:pPr>
        <w:rPr>
          <w:rFonts w:hint="eastAsia" w:eastAsia="仿宋_GB2312"/>
          <w:lang w:eastAsia="zh-CN"/>
        </w:rPr>
      </w:pPr>
    </w:p>
    <w:sectPr>
      <w:footerReference r:id="rId5" w:type="default"/>
      <w:footerReference r:id="rId6" w:type="even"/>
      <w:pgSz w:w="11900" w:h="16840"/>
      <w:pgMar w:top="1587" w:right="1474" w:bottom="1587" w:left="1474" w:header="851" w:footer="1474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Heiti SC Medium">
    <w:altName w:val="华文仿宋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宋体" w:hAnsi="宋体" w:eastAsia="宋体"/>
        <w:sz w:val="28"/>
        <w:szCs w:val="28"/>
      </w:rPr>
    </w:pPr>
    <w:r>
      <w:rPr>
        <w:rStyle w:val="16"/>
        <w:rFonts w:ascii="宋体" w:hAnsi="宋体" w:eastAsia="宋体"/>
        <w:sz w:val="28"/>
        <w:szCs w:val="28"/>
      </w:rPr>
      <w:t xml:space="preserve">— </w:t>
    </w:r>
    <w:r>
      <w:rPr>
        <w:rStyle w:val="16"/>
        <w:rFonts w:hint="eastAsia" w:ascii="宋体" w:hAnsi="宋体" w:eastAsia="宋体"/>
        <w:sz w:val="28"/>
        <w:szCs w:val="28"/>
        <w:lang w:val="en-US" w:eastAsia="zh-CN"/>
      </w:rPr>
      <w:t>9</w:t>
    </w:r>
    <w:r>
      <w:rPr>
        <w:rStyle w:val="16"/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 PAGE </w:instrText>
    </w:r>
    <w:r>
      <w:rPr>
        <w:rStyle w:val="16"/>
      </w:rPr>
      <w:fldChar w:fldCharType="end"/>
    </w: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2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NkYTk5Mjg5YWJlOTZlZDFiZTI0OTFjYzBiMjYifQ=="/>
  </w:docVars>
  <w:rsids>
    <w:rsidRoot w:val="00B101D6"/>
    <w:rsid w:val="00001000"/>
    <w:rsid w:val="0001341E"/>
    <w:rsid w:val="0002002E"/>
    <w:rsid w:val="00026167"/>
    <w:rsid w:val="00031C42"/>
    <w:rsid w:val="00044593"/>
    <w:rsid w:val="00054C66"/>
    <w:rsid w:val="00075A8F"/>
    <w:rsid w:val="00076D29"/>
    <w:rsid w:val="00091AE6"/>
    <w:rsid w:val="000A1402"/>
    <w:rsid w:val="000A67E3"/>
    <w:rsid w:val="000B6BBC"/>
    <w:rsid w:val="000D0E1D"/>
    <w:rsid w:val="000D261A"/>
    <w:rsid w:val="000D3AD2"/>
    <w:rsid w:val="000E32B3"/>
    <w:rsid w:val="000F4594"/>
    <w:rsid w:val="001222FD"/>
    <w:rsid w:val="00123724"/>
    <w:rsid w:val="00124D1D"/>
    <w:rsid w:val="00132DC4"/>
    <w:rsid w:val="001438DF"/>
    <w:rsid w:val="00163B50"/>
    <w:rsid w:val="00166A6D"/>
    <w:rsid w:val="0018554C"/>
    <w:rsid w:val="00192AA4"/>
    <w:rsid w:val="001A5376"/>
    <w:rsid w:val="001A5946"/>
    <w:rsid w:val="001B147D"/>
    <w:rsid w:val="001D39CD"/>
    <w:rsid w:val="001D7144"/>
    <w:rsid w:val="001E13BD"/>
    <w:rsid w:val="001E1BF6"/>
    <w:rsid w:val="001E2CB6"/>
    <w:rsid w:val="001E7CE6"/>
    <w:rsid w:val="001F36AB"/>
    <w:rsid w:val="001F5E06"/>
    <w:rsid w:val="00215BB2"/>
    <w:rsid w:val="00220A31"/>
    <w:rsid w:val="00240CD7"/>
    <w:rsid w:val="00244E77"/>
    <w:rsid w:val="0025002F"/>
    <w:rsid w:val="00250A68"/>
    <w:rsid w:val="00273E87"/>
    <w:rsid w:val="002755AE"/>
    <w:rsid w:val="00281EB2"/>
    <w:rsid w:val="00297BA9"/>
    <w:rsid w:val="002A06C5"/>
    <w:rsid w:val="002A4E06"/>
    <w:rsid w:val="002D3169"/>
    <w:rsid w:val="002D3CA9"/>
    <w:rsid w:val="002E067E"/>
    <w:rsid w:val="002E2B64"/>
    <w:rsid w:val="003072B3"/>
    <w:rsid w:val="00312378"/>
    <w:rsid w:val="00312766"/>
    <w:rsid w:val="00321590"/>
    <w:rsid w:val="00330FDC"/>
    <w:rsid w:val="00333757"/>
    <w:rsid w:val="0034002A"/>
    <w:rsid w:val="00344395"/>
    <w:rsid w:val="00345A1F"/>
    <w:rsid w:val="00355CB9"/>
    <w:rsid w:val="003627B1"/>
    <w:rsid w:val="00377181"/>
    <w:rsid w:val="00387080"/>
    <w:rsid w:val="00390FCB"/>
    <w:rsid w:val="003C21AA"/>
    <w:rsid w:val="003C4D72"/>
    <w:rsid w:val="003D6F11"/>
    <w:rsid w:val="003E6C5C"/>
    <w:rsid w:val="003F707A"/>
    <w:rsid w:val="00404D28"/>
    <w:rsid w:val="0041415B"/>
    <w:rsid w:val="00416F9D"/>
    <w:rsid w:val="00422823"/>
    <w:rsid w:val="004421F3"/>
    <w:rsid w:val="00454BD1"/>
    <w:rsid w:val="00471C98"/>
    <w:rsid w:val="00471FE7"/>
    <w:rsid w:val="00494FB1"/>
    <w:rsid w:val="004A393B"/>
    <w:rsid w:val="004A496E"/>
    <w:rsid w:val="004A78C8"/>
    <w:rsid w:val="004B01D6"/>
    <w:rsid w:val="004B5981"/>
    <w:rsid w:val="004E571E"/>
    <w:rsid w:val="005038C5"/>
    <w:rsid w:val="00505F4D"/>
    <w:rsid w:val="0050679F"/>
    <w:rsid w:val="0051128A"/>
    <w:rsid w:val="00526255"/>
    <w:rsid w:val="005408C0"/>
    <w:rsid w:val="005430E7"/>
    <w:rsid w:val="005454D7"/>
    <w:rsid w:val="005457F3"/>
    <w:rsid w:val="005621DE"/>
    <w:rsid w:val="00585AB2"/>
    <w:rsid w:val="00586726"/>
    <w:rsid w:val="005A08BF"/>
    <w:rsid w:val="005A5442"/>
    <w:rsid w:val="005B4964"/>
    <w:rsid w:val="005C7297"/>
    <w:rsid w:val="005D232C"/>
    <w:rsid w:val="005D4654"/>
    <w:rsid w:val="005D76CE"/>
    <w:rsid w:val="005D7C08"/>
    <w:rsid w:val="00605046"/>
    <w:rsid w:val="006163D6"/>
    <w:rsid w:val="00620B78"/>
    <w:rsid w:val="00626A90"/>
    <w:rsid w:val="006312A1"/>
    <w:rsid w:val="0065524E"/>
    <w:rsid w:val="00656607"/>
    <w:rsid w:val="00656955"/>
    <w:rsid w:val="006610AA"/>
    <w:rsid w:val="00661F94"/>
    <w:rsid w:val="006621D2"/>
    <w:rsid w:val="006632C9"/>
    <w:rsid w:val="0067255E"/>
    <w:rsid w:val="0067299E"/>
    <w:rsid w:val="00677D52"/>
    <w:rsid w:val="006A2F0F"/>
    <w:rsid w:val="006B155A"/>
    <w:rsid w:val="006D0DE7"/>
    <w:rsid w:val="006D166B"/>
    <w:rsid w:val="006E095B"/>
    <w:rsid w:val="006E314A"/>
    <w:rsid w:val="006F572F"/>
    <w:rsid w:val="007024E3"/>
    <w:rsid w:val="00712A50"/>
    <w:rsid w:val="00720560"/>
    <w:rsid w:val="00722536"/>
    <w:rsid w:val="00751049"/>
    <w:rsid w:val="0075372A"/>
    <w:rsid w:val="00783CD5"/>
    <w:rsid w:val="00791DBB"/>
    <w:rsid w:val="007946BB"/>
    <w:rsid w:val="007A2288"/>
    <w:rsid w:val="007A4030"/>
    <w:rsid w:val="007B044D"/>
    <w:rsid w:val="007B2227"/>
    <w:rsid w:val="007E2922"/>
    <w:rsid w:val="00802679"/>
    <w:rsid w:val="00811040"/>
    <w:rsid w:val="00816989"/>
    <w:rsid w:val="008247D7"/>
    <w:rsid w:val="008260F2"/>
    <w:rsid w:val="00832E1B"/>
    <w:rsid w:val="0084477C"/>
    <w:rsid w:val="00853B3F"/>
    <w:rsid w:val="00854170"/>
    <w:rsid w:val="0085691B"/>
    <w:rsid w:val="00861E01"/>
    <w:rsid w:val="008626A2"/>
    <w:rsid w:val="008628FD"/>
    <w:rsid w:val="00864F42"/>
    <w:rsid w:val="00867486"/>
    <w:rsid w:val="00872544"/>
    <w:rsid w:val="00883A35"/>
    <w:rsid w:val="00883E1A"/>
    <w:rsid w:val="00884CDE"/>
    <w:rsid w:val="00891C5A"/>
    <w:rsid w:val="00894690"/>
    <w:rsid w:val="00897165"/>
    <w:rsid w:val="008A532E"/>
    <w:rsid w:val="008B1CE8"/>
    <w:rsid w:val="008B36BB"/>
    <w:rsid w:val="008B3CF5"/>
    <w:rsid w:val="008B3E2C"/>
    <w:rsid w:val="008B5F6E"/>
    <w:rsid w:val="008B7CEF"/>
    <w:rsid w:val="008C243F"/>
    <w:rsid w:val="008C3D5E"/>
    <w:rsid w:val="008D4BB3"/>
    <w:rsid w:val="008D6A61"/>
    <w:rsid w:val="008E03F3"/>
    <w:rsid w:val="008E72FA"/>
    <w:rsid w:val="008F0CDD"/>
    <w:rsid w:val="008F70A0"/>
    <w:rsid w:val="008F7346"/>
    <w:rsid w:val="00903947"/>
    <w:rsid w:val="00940FF4"/>
    <w:rsid w:val="009505C7"/>
    <w:rsid w:val="009564F3"/>
    <w:rsid w:val="00960ED7"/>
    <w:rsid w:val="009615DE"/>
    <w:rsid w:val="009674A8"/>
    <w:rsid w:val="009757CF"/>
    <w:rsid w:val="00982EED"/>
    <w:rsid w:val="009963F4"/>
    <w:rsid w:val="009A51E1"/>
    <w:rsid w:val="009B4498"/>
    <w:rsid w:val="009B7BE8"/>
    <w:rsid w:val="009F34F6"/>
    <w:rsid w:val="00A04E54"/>
    <w:rsid w:val="00A07680"/>
    <w:rsid w:val="00A110A8"/>
    <w:rsid w:val="00A1494D"/>
    <w:rsid w:val="00A1657F"/>
    <w:rsid w:val="00A20395"/>
    <w:rsid w:val="00A418B3"/>
    <w:rsid w:val="00A430E4"/>
    <w:rsid w:val="00A50AA6"/>
    <w:rsid w:val="00A5431F"/>
    <w:rsid w:val="00A55CFE"/>
    <w:rsid w:val="00A579F8"/>
    <w:rsid w:val="00A66724"/>
    <w:rsid w:val="00A7381D"/>
    <w:rsid w:val="00A84129"/>
    <w:rsid w:val="00A8425D"/>
    <w:rsid w:val="00A901DA"/>
    <w:rsid w:val="00A94E6C"/>
    <w:rsid w:val="00AA6FBF"/>
    <w:rsid w:val="00AB37CB"/>
    <w:rsid w:val="00AB6B49"/>
    <w:rsid w:val="00AC1BE6"/>
    <w:rsid w:val="00AD14A6"/>
    <w:rsid w:val="00AD7E24"/>
    <w:rsid w:val="00AE13DD"/>
    <w:rsid w:val="00AE38FE"/>
    <w:rsid w:val="00AE7C05"/>
    <w:rsid w:val="00B015D0"/>
    <w:rsid w:val="00B101D6"/>
    <w:rsid w:val="00B22C7C"/>
    <w:rsid w:val="00B23639"/>
    <w:rsid w:val="00B25D54"/>
    <w:rsid w:val="00B31FF1"/>
    <w:rsid w:val="00B41C7F"/>
    <w:rsid w:val="00B514D4"/>
    <w:rsid w:val="00B61071"/>
    <w:rsid w:val="00B70DC8"/>
    <w:rsid w:val="00B84904"/>
    <w:rsid w:val="00B91B0A"/>
    <w:rsid w:val="00B97131"/>
    <w:rsid w:val="00BA6ACC"/>
    <w:rsid w:val="00BC74C6"/>
    <w:rsid w:val="00BE659B"/>
    <w:rsid w:val="00BE759F"/>
    <w:rsid w:val="00C05292"/>
    <w:rsid w:val="00C1577F"/>
    <w:rsid w:val="00C25F62"/>
    <w:rsid w:val="00C37E4E"/>
    <w:rsid w:val="00C43A8B"/>
    <w:rsid w:val="00C44C6C"/>
    <w:rsid w:val="00C56058"/>
    <w:rsid w:val="00C64539"/>
    <w:rsid w:val="00C67904"/>
    <w:rsid w:val="00C9645D"/>
    <w:rsid w:val="00CA3898"/>
    <w:rsid w:val="00CB39F5"/>
    <w:rsid w:val="00CB58DE"/>
    <w:rsid w:val="00CC19C1"/>
    <w:rsid w:val="00CE1093"/>
    <w:rsid w:val="00CE5947"/>
    <w:rsid w:val="00D104A4"/>
    <w:rsid w:val="00D16558"/>
    <w:rsid w:val="00D17CF1"/>
    <w:rsid w:val="00D242D6"/>
    <w:rsid w:val="00D4120E"/>
    <w:rsid w:val="00D44859"/>
    <w:rsid w:val="00D56A46"/>
    <w:rsid w:val="00D57AF3"/>
    <w:rsid w:val="00D95227"/>
    <w:rsid w:val="00DC0B6F"/>
    <w:rsid w:val="00DD1B21"/>
    <w:rsid w:val="00DD56C9"/>
    <w:rsid w:val="00DD5A15"/>
    <w:rsid w:val="00DD7690"/>
    <w:rsid w:val="00DF2E86"/>
    <w:rsid w:val="00E02C20"/>
    <w:rsid w:val="00E215B6"/>
    <w:rsid w:val="00E30A03"/>
    <w:rsid w:val="00E3629D"/>
    <w:rsid w:val="00E54804"/>
    <w:rsid w:val="00E55115"/>
    <w:rsid w:val="00E56A5B"/>
    <w:rsid w:val="00E65068"/>
    <w:rsid w:val="00E92628"/>
    <w:rsid w:val="00E94E60"/>
    <w:rsid w:val="00E97547"/>
    <w:rsid w:val="00EA231C"/>
    <w:rsid w:val="00EA3DE7"/>
    <w:rsid w:val="00EA7FB5"/>
    <w:rsid w:val="00EB012D"/>
    <w:rsid w:val="00EC3B89"/>
    <w:rsid w:val="00EC74D1"/>
    <w:rsid w:val="00ED7905"/>
    <w:rsid w:val="00EE6733"/>
    <w:rsid w:val="00F00A4F"/>
    <w:rsid w:val="00F0366F"/>
    <w:rsid w:val="00F0731D"/>
    <w:rsid w:val="00F15908"/>
    <w:rsid w:val="00F162FC"/>
    <w:rsid w:val="00F2744E"/>
    <w:rsid w:val="00F3364A"/>
    <w:rsid w:val="00F4304C"/>
    <w:rsid w:val="00F43AF4"/>
    <w:rsid w:val="00F52944"/>
    <w:rsid w:val="00F75FEA"/>
    <w:rsid w:val="00F77E2C"/>
    <w:rsid w:val="00F86E13"/>
    <w:rsid w:val="00FA5D97"/>
    <w:rsid w:val="00FB02A1"/>
    <w:rsid w:val="00FC2A17"/>
    <w:rsid w:val="00FC63EE"/>
    <w:rsid w:val="00FF2FDD"/>
    <w:rsid w:val="00FF637A"/>
    <w:rsid w:val="03567F93"/>
    <w:rsid w:val="040E1E30"/>
    <w:rsid w:val="05A0796F"/>
    <w:rsid w:val="05E97C8E"/>
    <w:rsid w:val="06FD62B8"/>
    <w:rsid w:val="077551F7"/>
    <w:rsid w:val="07BD57B3"/>
    <w:rsid w:val="07DB6B89"/>
    <w:rsid w:val="0897767A"/>
    <w:rsid w:val="09671215"/>
    <w:rsid w:val="09BA2032"/>
    <w:rsid w:val="09F81D65"/>
    <w:rsid w:val="0A0054A6"/>
    <w:rsid w:val="0A3B4E6D"/>
    <w:rsid w:val="0B684746"/>
    <w:rsid w:val="0C8A42C0"/>
    <w:rsid w:val="0D124C77"/>
    <w:rsid w:val="0DE47921"/>
    <w:rsid w:val="0E3A3F79"/>
    <w:rsid w:val="0ED45292"/>
    <w:rsid w:val="0F024020"/>
    <w:rsid w:val="12A25B99"/>
    <w:rsid w:val="13EA5BA1"/>
    <w:rsid w:val="152C1963"/>
    <w:rsid w:val="19B91389"/>
    <w:rsid w:val="1AB26241"/>
    <w:rsid w:val="1ADF12BF"/>
    <w:rsid w:val="1AFF4817"/>
    <w:rsid w:val="1C0A0E84"/>
    <w:rsid w:val="1C333641"/>
    <w:rsid w:val="1C406D91"/>
    <w:rsid w:val="1DCE2A97"/>
    <w:rsid w:val="21957B4F"/>
    <w:rsid w:val="21C976A7"/>
    <w:rsid w:val="23312A7F"/>
    <w:rsid w:val="23D17DEB"/>
    <w:rsid w:val="24096C33"/>
    <w:rsid w:val="26E65580"/>
    <w:rsid w:val="2ACD6FEF"/>
    <w:rsid w:val="2C0B1009"/>
    <w:rsid w:val="2C1E72BB"/>
    <w:rsid w:val="2C6E06B0"/>
    <w:rsid w:val="2D4A3802"/>
    <w:rsid w:val="2E603469"/>
    <w:rsid w:val="2EA77752"/>
    <w:rsid w:val="32240AF3"/>
    <w:rsid w:val="32F74F45"/>
    <w:rsid w:val="3343441F"/>
    <w:rsid w:val="33C71A0B"/>
    <w:rsid w:val="345B6415"/>
    <w:rsid w:val="346A367B"/>
    <w:rsid w:val="35452AC1"/>
    <w:rsid w:val="35CF4927"/>
    <w:rsid w:val="35DE7911"/>
    <w:rsid w:val="36F67B8F"/>
    <w:rsid w:val="380B54C8"/>
    <w:rsid w:val="387B39B2"/>
    <w:rsid w:val="38912521"/>
    <w:rsid w:val="39416862"/>
    <w:rsid w:val="3A7B63EE"/>
    <w:rsid w:val="3AD44154"/>
    <w:rsid w:val="3AF91929"/>
    <w:rsid w:val="3B177577"/>
    <w:rsid w:val="3B7D282D"/>
    <w:rsid w:val="3B843883"/>
    <w:rsid w:val="3BA84F6B"/>
    <w:rsid w:val="3CF6743D"/>
    <w:rsid w:val="3E1544CE"/>
    <w:rsid w:val="3E5A60BE"/>
    <w:rsid w:val="3EC83607"/>
    <w:rsid w:val="3F0D19CC"/>
    <w:rsid w:val="3FD858CE"/>
    <w:rsid w:val="3FF53D33"/>
    <w:rsid w:val="41952205"/>
    <w:rsid w:val="43537C18"/>
    <w:rsid w:val="43586EB8"/>
    <w:rsid w:val="438A5F93"/>
    <w:rsid w:val="4423498D"/>
    <w:rsid w:val="45012ABC"/>
    <w:rsid w:val="45D159E9"/>
    <w:rsid w:val="46CD77A2"/>
    <w:rsid w:val="474374D2"/>
    <w:rsid w:val="484C3E76"/>
    <w:rsid w:val="48794F4B"/>
    <w:rsid w:val="48C430D6"/>
    <w:rsid w:val="48FB7626"/>
    <w:rsid w:val="4A38067C"/>
    <w:rsid w:val="4B097D2D"/>
    <w:rsid w:val="4CBF5B21"/>
    <w:rsid w:val="4DB71D2F"/>
    <w:rsid w:val="4E28524A"/>
    <w:rsid w:val="4F51325A"/>
    <w:rsid w:val="4F9317EF"/>
    <w:rsid w:val="500E118A"/>
    <w:rsid w:val="50586F2A"/>
    <w:rsid w:val="50B07B96"/>
    <w:rsid w:val="514B696F"/>
    <w:rsid w:val="52A368B8"/>
    <w:rsid w:val="5422083B"/>
    <w:rsid w:val="54701EB4"/>
    <w:rsid w:val="561D1ABD"/>
    <w:rsid w:val="570B14D2"/>
    <w:rsid w:val="57AD5BE6"/>
    <w:rsid w:val="57B10550"/>
    <w:rsid w:val="57FE70FB"/>
    <w:rsid w:val="5A0F2AD4"/>
    <w:rsid w:val="5C3D152B"/>
    <w:rsid w:val="5DA31C5E"/>
    <w:rsid w:val="5DD84DE7"/>
    <w:rsid w:val="5EC160A7"/>
    <w:rsid w:val="5F05279B"/>
    <w:rsid w:val="5F444456"/>
    <w:rsid w:val="5F7263FC"/>
    <w:rsid w:val="60D31DF9"/>
    <w:rsid w:val="60E436C1"/>
    <w:rsid w:val="62976464"/>
    <w:rsid w:val="65BC685C"/>
    <w:rsid w:val="66345F83"/>
    <w:rsid w:val="66FE5F26"/>
    <w:rsid w:val="67670C1C"/>
    <w:rsid w:val="67C26FB7"/>
    <w:rsid w:val="68F632ED"/>
    <w:rsid w:val="6974174A"/>
    <w:rsid w:val="6A3151E1"/>
    <w:rsid w:val="6BCD6FD0"/>
    <w:rsid w:val="6D51326C"/>
    <w:rsid w:val="70C43DAE"/>
    <w:rsid w:val="716F585A"/>
    <w:rsid w:val="7178392A"/>
    <w:rsid w:val="72134393"/>
    <w:rsid w:val="737A0E2D"/>
    <w:rsid w:val="74D66875"/>
    <w:rsid w:val="75EF7CCD"/>
    <w:rsid w:val="76665AD4"/>
    <w:rsid w:val="786F5F4C"/>
    <w:rsid w:val="79AC52A2"/>
    <w:rsid w:val="79C43C49"/>
    <w:rsid w:val="7B2047BE"/>
    <w:rsid w:val="7C1005E8"/>
    <w:rsid w:val="7D0E5C2C"/>
    <w:rsid w:val="7D5D7AC2"/>
    <w:rsid w:val="BE9CA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qFormat="1" w:unhideWhenUsed="0" w:uiPriority="99" w:semiHidden="0" w:name="Table Grid 2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line="578" w:lineRule="atLeast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3">
    <w:name w:val="heading 2"/>
    <w:basedOn w:val="4"/>
    <w:next w:val="1"/>
    <w:link w:val="18"/>
    <w:qFormat/>
    <w:uiPriority w:val="99"/>
    <w:pPr>
      <w:keepNext/>
      <w:keepLines/>
      <w:jc w:val="left"/>
      <w:outlineLvl w:val="1"/>
    </w:pPr>
    <w:rPr>
      <w:rFonts w:ascii="楷体_GB2312" w:hAnsi="楷体_GB2312" w:eastAsia="楷体_GB2312"/>
      <w:bCs/>
      <w:szCs w:val="32"/>
    </w:rPr>
  </w:style>
  <w:style w:type="paragraph" w:styleId="5">
    <w:name w:val="heading 3"/>
    <w:basedOn w:val="4"/>
    <w:next w:val="1"/>
    <w:link w:val="19"/>
    <w:qFormat/>
    <w:uiPriority w:val="99"/>
    <w:pPr>
      <w:keepNext/>
      <w:keepLines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tLeast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styleId="7">
    <w:name w:val="heading 5"/>
    <w:basedOn w:val="1"/>
    <w:next w:val="1"/>
    <w:link w:val="21"/>
    <w:qFormat/>
    <w:uiPriority w:val="9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qFormat/>
    <w:uiPriority w:val="99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99"/>
    <w:pPr>
      <w:ind w:firstLine="200" w:firstLineChars="200"/>
    </w:pPr>
  </w:style>
  <w:style w:type="paragraph" w:styleId="8">
    <w:name w:val="Document Map"/>
    <w:basedOn w:val="1"/>
    <w:link w:val="22"/>
    <w:qFormat/>
    <w:uiPriority w:val="99"/>
    <w:rPr>
      <w:rFonts w:ascii="宋体" w:eastAsia="宋体"/>
      <w:sz w:val="24"/>
      <w:szCs w:val="24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itle"/>
    <w:basedOn w:val="1"/>
    <w:next w:val="4"/>
    <w:link w:val="25"/>
    <w:qFormat/>
    <w:uiPriority w:val="99"/>
    <w:pPr>
      <w:ind w:firstLine="200" w:firstLineChars="200"/>
      <w:jc w:val="left"/>
      <w:outlineLvl w:val="0"/>
    </w:pPr>
    <w:rPr>
      <w:rFonts w:eastAsia="黑体"/>
      <w:bCs/>
      <w:szCs w:val="32"/>
    </w:rPr>
  </w:style>
  <w:style w:type="table" w:styleId="13">
    <w:name w:val="Table Grid"/>
    <w:basedOn w:val="12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2"/>
    <w:basedOn w:val="12"/>
    <w:qFormat/>
    <w:uiPriority w:val="9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customStyle="1" w:styleId="17">
    <w:name w:val="Heading 1 Char"/>
    <w:basedOn w:val="15"/>
    <w:link w:val="2"/>
    <w:qFormat/>
    <w:locked/>
    <w:uiPriority w:val="99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8">
    <w:name w:val="Heading 2 Char"/>
    <w:basedOn w:val="15"/>
    <w:link w:val="3"/>
    <w:qFormat/>
    <w:locked/>
    <w:uiPriority w:val="99"/>
    <w:rPr>
      <w:rFonts w:ascii="楷体_GB2312" w:hAnsi="楷体_GB2312" w:eastAsia="楷体_GB2312" w:cs="Times New Roman"/>
      <w:bCs/>
      <w:sz w:val="32"/>
      <w:szCs w:val="32"/>
    </w:rPr>
  </w:style>
  <w:style w:type="character" w:customStyle="1" w:styleId="19">
    <w:name w:val="Heading 3 Char"/>
    <w:basedOn w:val="15"/>
    <w:link w:val="5"/>
    <w:qFormat/>
    <w:locked/>
    <w:uiPriority w:val="99"/>
    <w:rPr>
      <w:rFonts w:ascii="仿宋_GB2312" w:hAnsi="仿宋_GB2312" w:eastAsia="仿宋_GB2312" w:cs="Times New Roman"/>
      <w:b/>
      <w:bCs/>
      <w:sz w:val="32"/>
      <w:szCs w:val="32"/>
    </w:rPr>
  </w:style>
  <w:style w:type="character" w:customStyle="1" w:styleId="20">
    <w:name w:val="Heading 4 Char"/>
    <w:basedOn w:val="15"/>
    <w:link w:val="6"/>
    <w:qFormat/>
    <w:locked/>
    <w:uiPriority w:val="9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21">
    <w:name w:val="Heading 5 Char"/>
    <w:basedOn w:val="15"/>
    <w:link w:val="7"/>
    <w:qFormat/>
    <w:locked/>
    <w:uiPriority w:val="99"/>
    <w:rPr>
      <w:rFonts w:ascii="Times New Roman" w:hAnsi="Times New Roman" w:eastAsia="仿宋_GB2312" w:cs="Times New Roman"/>
      <w:b/>
      <w:bCs/>
      <w:sz w:val="28"/>
      <w:szCs w:val="28"/>
    </w:rPr>
  </w:style>
  <w:style w:type="character" w:customStyle="1" w:styleId="22">
    <w:name w:val="Document Map Char"/>
    <w:basedOn w:val="15"/>
    <w:link w:val="8"/>
    <w:semiHidden/>
    <w:qFormat/>
    <w:locked/>
    <w:uiPriority w:val="99"/>
    <w:rPr>
      <w:rFonts w:ascii="宋体" w:hAnsi="仿宋_GB2312" w:eastAsia="宋体" w:cs="Times New Roman"/>
      <w:sz w:val="24"/>
      <w:szCs w:val="24"/>
    </w:rPr>
  </w:style>
  <w:style w:type="character" w:customStyle="1" w:styleId="23">
    <w:name w:val="Footer Char"/>
    <w:basedOn w:val="15"/>
    <w:link w:val="9"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24">
    <w:name w:val="Header Char"/>
    <w:basedOn w:val="15"/>
    <w:link w:val="10"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25">
    <w:name w:val="Title Char"/>
    <w:basedOn w:val="15"/>
    <w:link w:val="11"/>
    <w:qFormat/>
    <w:locked/>
    <w:uiPriority w:val="99"/>
    <w:rPr>
      <w:rFonts w:ascii="Times New Roman" w:hAnsi="Times New Roman" w:eastAsia="黑体" w:cs="Times New Roman"/>
      <w:bCs/>
      <w:sz w:val="32"/>
      <w:szCs w:val="32"/>
    </w:rPr>
  </w:style>
  <w:style w:type="paragraph" w:customStyle="1" w:styleId="26">
    <w:name w:val="列表段落1"/>
    <w:basedOn w:val="1"/>
    <w:qFormat/>
    <w:uiPriority w:val="99"/>
    <w:pPr>
      <w:ind w:firstLine="420" w:firstLineChars="200"/>
    </w:pPr>
  </w:style>
  <w:style w:type="paragraph" w:customStyle="1" w:styleId="27">
    <w:name w:val="无间隔2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433</Words>
  <Characters>484</Characters>
  <Lines>0</Lines>
  <Paragraphs>0</Paragraphs>
  <TotalTime>2</TotalTime>
  <ScaleCrop>false</ScaleCrop>
  <LinksUpToDate>false</LinksUpToDate>
  <CharactersWithSpaces>484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2020-07-10T18:33:00Z</dcterms:created>
  <dc:creator>JingSen LIU</dc:creator>
  <cp:lastModifiedBy>Gl</cp:lastModifiedBy>
  <cp:lastPrinted>2022-06-24T02:21:00Z</cp:lastPrinted>
  <dcterms:modified xsi:type="dcterms:W3CDTF">2022-07-07T17:16:19Z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DC33A16860C64E4AAB0A0C0FE771F36B</vt:lpwstr>
  </property>
</Properties>
</file>