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24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省企业技术中心评价指标体系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一、指标体系</w:t>
      </w:r>
    </w:p>
    <w:tbl>
      <w:tblPr>
        <w:tblStyle w:val="3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73"/>
        <w:gridCol w:w="587"/>
        <w:gridCol w:w="3636"/>
        <w:gridCol w:w="736"/>
        <w:gridCol w:w="573"/>
        <w:gridCol w:w="1025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一级指标</w:t>
            </w: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二级指标</w:t>
            </w:r>
          </w:p>
        </w:tc>
        <w:tc>
          <w:tcPr>
            <w:tcW w:w="5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权重</w:t>
            </w: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三级指标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单位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权重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基本要求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满分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创新投入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创新经费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20</w:t>
            </w: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研发人员人均研发经费支出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万元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8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≥2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研发经费支出占主营业务收入的比重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%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12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创新人才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15</w:t>
            </w: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研发人员占企业职工总数的比重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%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7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技术中心拥有的高级专家和博士人数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人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≥4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-6"/>
                <w:sz w:val="21"/>
                <w:szCs w:val="21"/>
              </w:rPr>
              <w:t>来技术中心从事研发工作的外部专家人数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人月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≥10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创新条件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技术积累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13</w:t>
            </w: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企业拥有的全部有效发明专利数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项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企业全部研发项目数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项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≥5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基础研究和应用研究项目数占全部研发项目数的比重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%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创新平台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12</w:t>
            </w: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企业技术开发仪器设备原值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万元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≥1000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省级以上级研发平台数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个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市级研发平台数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个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通过国家（国际组织）认证的实验室和检测机构数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个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创新绩效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技术产出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15</w:t>
            </w: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当年被受理的专利申请数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项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≥3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当年被受理的发明专利申请数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项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6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≥2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最近三年主持和参加制定的国际、国家和行业标准数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项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创新效益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25</w:t>
            </w: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-6"/>
                <w:sz w:val="21"/>
                <w:szCs w:val="21"/>
              </w:rPr>
              <w:t>新产品销售收入占主营业务收入的比重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%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10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≥10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新产品销售利润占利润总额的比重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%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10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≥8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5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利润率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%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≥2</w:t>
            </w: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加分</w:t>
            </w: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加分</w:t>
            </w:r>
          </w:p>
        </w:tc>
        <w:tc>
          <w:tcPr>
            <w:tcW w:w="5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获国家或省级自然科学、技术发明、科技进步奖项目数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项</w:t>
            </w:r>
          </w:p>
        </w:tc>
        <w:tc>
          <w:tcPr>
            <w:tcW w:w="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≤6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</w:rPr>
        <w:t xml:space="preserve">    说明：</w:t>
      </w:r>
      <w:r>
        <w:rPr>
          <w:rFonts w:hint="eastAsia" w:ascii="Times New Roman" w:hAnsi="Times New Roman" w:eastAsia="仿宋_GB2312" w:cs="仿宋_GB2312"/>
          <w:sz w:val="24"/>
        </w:rPr>
        <w:t xml:space="preserve"> </w:t>
      </w:r>
    </w:p>
    <w:p>
      <w:pPr>
        <w:spacing w:line="400" w:lineRule="exact"/>
        <w:ind w:firstLine="480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企业作为主要完成单位或企业员工作为主要完成人获国家自然科学、技术发明、科技进步奖项目，特等奖每项加6分，一等奖每项加5分，二等奖每项加4分；获省级科技进步奖项目，一等奖每项加3分，二等奖每项加2分，三等奖每项加1分。加分项累计不超过6分。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二、行业系数</w:t>
      </w:r>
    </w:p>
    <w:tbl>
      <w:tblPr>
        <w:tblStyle w:val="3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2083"/>
        <w:gridCol w:w="204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tblHeader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行业名称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研发经费支出占主营业务收入的比重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新产品销售收入占主营业务收入的比重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pacing w:val="-6"/>
                <w:sz w:val="21"/>
                <w:szCs w:val="21"/>
              </w:rPr>
              <w:t>新产品销售利润占利润总额的比重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农业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煤炭开采和洗选业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石油和天然气开采业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有色金属矿采选业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农副食品加工业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食品制造业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酒、饮料和精制茶制造业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烟草制品业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纺织业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纺织服装、服饰业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皮革、毛皮、羽毛及其制品和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制鞋业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木材加工和木、竹、藤、棕、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草制品业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家具制造业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造纸和纸制品业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印刷和记录媒介复制业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文教、工美、体育和娱乐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用品制造业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石油加工、炼焦和核燃料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加工业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化学原料和化学制品制造业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医药制造业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化学纤维制造业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橡胶和塑料制品业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非金属矿物制品业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黑色金属冶炼和压延加工业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有色金属冶炼和压延加工业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1.2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金属制品业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通用设备制造业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专用设备制造业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汽车制造业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铁路、船舶、航空航天和其他运输设备制造业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电气机械和器材制造业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计算机、通信和其他电子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设备制造业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仪器仪表制造业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电力、热力生产和供应业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房屋建筑业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土木工程建筑业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建筑安装业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软件和信息技术服务业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0.6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专业技术服务业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3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其他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1.5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1.0</w:t>
            </w:r>
          </w:p>
        </w:tc>
      </w:tr>
    </w:tbl>
    <w:p>
      <w:pPr>
        <w:spacing w:line="380" w:lineRule="exact"/>
        <w:ind w:firstLine="464" w:firstLineChars="200"/>
        <w:rPr>
          <w:rFonts w:hint="eastAsia" w:ascii="Times New Roman" w:hAnsi="Times New Roman" w:eastAsia="仿宋_GB2312" w:cs="仿宋_GB2312"/>
          <w:b w:val="0"/>
          <w:bCs w:val="0"/>
          <w:sz w:val="24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</w:rPr>
        <w:t xml:space="preserve">说明： </w:t>
      </w:r>
    </w:p>
    <w:p>
      <w:pPr>
        <w:numPr>
          <w:ilvl w:val="0"/>
          <w:numId w:val="1"/>
        </w:numPr>
        <w:spacing w:line="380" w:lineRule="exact"/>
        <w:ind w:firstLine="464" w:firstLineChars="200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由于不同行业在研发投入与产出方面存在较大差异，技术中心评估时，对不同行业企业“研发经费支出占主营业务收入的比重”、“新产品销售收入占主 营业务收入的比重”、“新产品销售利润占利润总额的比重”三个指标引入行业系数加以调节。</w:t>
      </w:r>
    </w:p>
    <w:p>
      <w:pPr>
        <w:numPr>
          <w:ilvl w:val="0"/>
          <w:numId w:val="1"/>
        </w:numPr>
        <w:spacing w:line="380" w:lineRule="exact"/>
        <w:ind w:firstLine="464" w:firstLineChars="200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行业系数主要依据已认定企业技术中心评价数据、大型工业企业统计数据测算得到。</w:t>
      </w:r>
    </w:p>
    <w:p>
      <w:pPr>
        <w:numPr>
          <w:ilvl w:val="0"/>
          <w:numId w:val="1"/>
        </w:numPr>
        <w:spacing w:line="380" w:lineRule="exact"/>
        <w:ind w:firstLine="464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行业系数只作为第三方评估机构评价时使用，企业填报时无需考虑行业系数，按实际数据填报。评价时，根据企业填报的实际数据计算得出上述指标的比重，再乘以行业系数，得出指标的评价值。</w:t>
      </w:r>
    </w:p>
    <w:p>
      <w:pPr>
        <w:numPr>
          <w:ilvl w:val="0"/>
          <w:numId w:val="1"/>
        </w:numPr>
        <w:spacing w:line="380" w:lineRule="exact"/>
        <w:ind w:firstLine="464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行业系数表中的“其他”行业包括“交通运输、仓储和邮政业”、“文化、体育和娱乐业”等行业。</w:t>
      </w:r>
    </w:p>
    <w:p>
      <w:pPr>
        <w:ind w:firstLine="624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三、限定性指标的最低标准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1．年度研究与试验发展经费支出额不低于500万元。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2．年度研究与试验发展人员数不少于50人。</w:t>
      </w:r>
    </w:p>
    <w:p>
      <w:pPr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3．年度技术开发仪器设备原值不低于800万元。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CCF"/>
    <w:multiLevelType w:val="singleLevel"/>
    <w:tmpl w:val="57691C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6D6A"/>
    <w:rsid w:val="624B6D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2023-07-31T01:28:00Z</dcterms:created>
  <dc:creator>系统管理员</dc:creator>
  <cp:lastModifiedBy>系统管理员</cp:lastModifiedBy>
  <dcterms:modified xsi:type="dcterms:W3CDTF">2023-07-31T01:28:57Z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